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994" w:rsidRDefault="00B031EC" w:rsidP="00D67EED">
      <w:pPr>
        <w:pStyle w:val="Heading2"/>
        <w:spacing w:after="120"/>
        <w:jc w:val="center"/>
        <w:rPr>
          <w:b/>
          <w:color w:val="auto"/>
        </w:rPr>
      </w:pPr>
      <w:r w:rsidRPr="00D67EED">
        <w:rPr>
          <w:b/>
          <w:color w:val="auto"/>
        </w:rPr>
        <w:t>Curriculum and Consequence: Learning, Inequality and Policy</w:t>
      </w:r>
    </w:p>
    <w:p w:rsidR="005B5C82" w:rsidRDefault="005B5C82" w:rsidP="005B5C82">
      <w:pPr>
        <w:jc w:val="center"/>
      </w:pPr>
      <w:r>
        <w:t xml:space="preserve">Questions, concerns, ideas for collaboration? Please reach out at </w:t>
      </w:r>
      <w:hyperlink r:id="rId7" w:history="1">
        <w:r w:rsidRPr="00CC664E">
          <w:rPr>
            <w:rStyle w:val="Hyperlink"/>
          </w:rPr>
          <w:t>brownm@iastate.edu</w:t>
        </w:r>
      </w:hyperlink>
      <w:r>
        <w:t>!</w:t>
      </w:r>
    </w:p>
    <w:p w:rsidR="005B5C82" w:rsidRPr="005B5C82" w:rsidRDefault="005B5C82" w:rsidP="005B5C82">
      <w:pPr>
        <w:jc w:val="center"/>
      </w:pPr>
    </w:p>
    <w:p w:rsidR="00D67EED" w:rsidRDefault="00D67EED" w:rsidP="00D67EED">
      <w:pPr>
        <w:jc w:val="center"/>
        <w:rPr>
          <w:i/>
          <w:u w:val="single"/>
        </w:rPr>
      </w:pPr>
      <w:r>
        <w:rPr>
          <w:i/>
          <w:u w:val="single"/>
        </w:rPr>
        <w:t xml:space="preserve">Part 1: </w:t>
      </w:r>
      <w:r w:rsidR="00B031EC" w:rsidRPr="00D67EED">
        <w:rPr>
          <w:i/>
          <w:u w:val="single"/>
        </w:rPr>
        <w:t>May I Add Some Data to the Discussion</w:t>
      </w:r>
    </w:p>
    <w:p w:rsidR="00B031EC" w:rsidRPr="00D67EED" w:rsidRDefault="00E96FA2">
      <w:pPr>
        <w:rPr>
          <w:i/>
        </w:rPr>
      </w:pPr>
      <w:r>
        <w:rPr>
          <w:i/>
        </w:rPr>
        <w:t>Key Texts</w:t>
      </w:r>
      <w:r w:rsidR="00B031EC" w:rsidRPr="00D67EED">
        <w:rPr>
          <w:i/>
        </w:rPr>
        <w:t>:</w:t>
      </w:r>
    </w:p>
    <w:p w:rsidR="00B031EC" w:rsidRDefault="00B031EC" w:rsidP="00B031EC">
      <w:pPr>
        <w:ind w:left="720" w:hanging="720"/>
      </w:pPr>
      <w:r>
        <w:t xml:space="preserve">Brown, M., Sowl, S., &amp; Steigleder, K.M. (2023). “May I Contribute Some Data to the Discussion?”: Negotiating Data Politics Through General Education Reform, </w:t>
      </w:r>
      <w:r w:rsidRPr="00B031EC">
        <w:rPr>
          <w:i/>
        </w:rPr>
        <w:t>The Journal of Higher Education</w:t>
      </w:r>
      <w:r>
        <w:t xml:space="preserve">, 94:7, 851-895, </w:t>
      </w:r>
      <w:hyperlink r:id="rId8" w:history="1">
        <w:r w:rsidRPr="00CC664E">
          <w:rPr>
            <w:rStyle w:val="Hyperlink"/>
          </w:rPr>
          <w:t>https://doi.org/10.1080/00221546.2023.2203629</w:t>
        </w:r>
      </w:hyperlink>
      <w:r>
        <w:t xml:space="preserve"> </w:t>
      </w:r>
      <w:r w:rsidR="00E96FA2">
        <w:rPr>
          <w:rStyle w:val="FootnoteReference"/>
        </w:rPr>
        <w:footnoteReference w:id="1"/>
      </w:r>
    </w:p>
    <w:p w:rsidR="00B031EC" w:rsidRPr="00B031EC" w:rsidRDefault="00B031EC" w:rsidP="00B031EC">
      <w:pPr>
        <w:ind w:left="720" w:hanging="720"/>
        <w:rPr>
          <w:rFonts w:cstheme="minorHAnsi"/>
        </w:rPr>
      </w:pPr>
      <w:r w:rsidRPr="00B031EC">
        <w:rPr>
          <w:rFonts w:cstheme="minorHAnsi"/>
          <w:color w:val="000000"/>
        </w:rPr>
        <w:t>Sowl, S., &amp; Brown, M. (2021). “We don’t need a four-year</w:t>
      </w:r>
      <w:r w:rsidRPr="00B031EC">
        <w:rPr>
          <w:rFonts w:cstheme="minorHAnsi"/>
        </w:rPr>
        <w:t xml:space="preserve"> </w:t>
      </w:r>
      <w:r w:rsidRPr="00B031EC">
        <w:rPr>
          <w:rFonts w:cstheme="minorHAnsi"/>
          <w:color w:val="000000"/>
        </w:rPr>
        <w:t>college person to come here and tell us what to do”: Community college curriculum</w:t>
      </w:r>
      <w:r w:rsidRPr="00B031EC">
        <w:rPr>
          <w:rFonts w:cstheme="minorHAnsi"/>
        </w:rPr>
        <w:t xml:space="preserve"> </w:t>
      </w:r>
      <w:r w:rsidRPr="00B031EC">
        <w:rPr>
          <w:rFonts w:cstheme="minorHAnsi"/>
          <w:color w:val="000000"/>
        </w:rPr>
        <w:t xml:space="preserve">making after articulation reform. </w:t>
      </w:r>
      <w:r w:rsidRPr="00B031EC">
        <w:rPr>
          <w:rFonts w:cstheme="minorHAnsi"/>
          <w:i/>
          <w:color w:val="000000"/>
        </w:rPr>
        <w:t>New Directions for Community Colleges</w:t>
      </w:r>
      <w:r w:rsidRPr="00B031EC">
        <w:rPr>
          <w:rFonts w:cstheme="minorHAnsi"/>
          <w:color w:val="000000"/>
        </w:rPr>
        <w:t xml:space="preserve"> 2021(195), p. 143-156,</w:t>
      </w:r>
      <w:r w:rsidRPr="00B031EC">
        <w:rPr>
          <w:rFonts w:cstheme="minorHAnsi"/>
        </w:rPr>
        <w:t xml:space="preserve"> </w:t>
      </w:r>
      <w:hyperlink r:id="rId9" w:history="1">
        <w:r w:rsidRPr="00B031EC">
          <w:rPr>
            <w:rStyle w:val="Hyperlink"/>
            <w:rFonts w:cstheme="minorHAnsi"/>
          </w:rPr>
          <w:t>https://doi.org/10.1002/cc.20473</w:t>
        </w:r>
      </w:hyperlink>
    </w:p>
    <w:p w:rsidR="00B031EC" w:rsidRPr="00D67EED" w:rsidRDefault="00B031EC">
      <w:pPr>
        <w:rPr>
          <w:i/>
        </w:rPr>
      </w:pPr>
      <w:r w:rsidRPr="00D67EED">
        <w:rPr>
          <w:i/>
        </w:rPr>
        <w:t>Key Points:</w:t>
      </w:r>
    </w:p>
    <w:p w:rsidR="00B031EC" w:rsidRDefault="00B031EC" w:rsidP="00B031EC">
      <w:pPr>
        <w:pStyle w:val="ListParagraph"/>
        <w:numPr>
          <w:ilvl w:val="0"/>
          <w:numId w:val="1"/>
        </w:numPr>
      </w:pPr>
      <w:r>
        <w:t>Repeated cycles of collision between the state and its institutions have eroded faculty governance (Taylor, 2022)</w:t>
      </w:r>
      <w:r w:rsidR="00C50B11">
        <w:rPr>
          <w:rStyle w:val="FootnoteReference"/>
        </w:rPr>
        <w:footnoteReference w:id="2"/>
      </w:r>
    </w:p>
    <w:p w:rsidR="00B031EC" w:rsidRDefault="00B031EC" w:rsidP="00B031EC">
      <w:pPr>
        <w:pStyle w:val="ListParagraph"/>
        <w:numPr>
          <w:ilvl w:val="0"/>
          <w:numId w:val="1"/>
        </w:numPr>
      </w:pPr>
      <w:r>
        <w:t>Conflict over curriculum was shaped by an emphasis on data talk, elid</w:t>
      </w:r>
      <w:r w:rsidR="00D67EED">
        <w:t>ing the</w:t>
      </w:r>
      <w:r>
        <w:t xml:space="preserve"> democratic purposes of general education curriculum</w:t>
      </w:r>
    </w:p>
    <w:p w:rsidR="00B031EC" w:rsidRDefault="00D67EED" w:rsidP="00B031EC">
      <w:pPr>
        <w:pStyle w:val="ListParagraph"/>
        <w:numPr>
          <w:ilvl w:val="0"/>
          <w:numId w:val="1"/>
        </w:numPr>
      </w:pPr>
      <w:r>
        <w:t>Discursive framing of learning as separate from teaching deemphasizes role of faculty in curriculum making</w:t>
      </w:r>
    </w:p>
    <w:p w:rsidR="005B5C82" w:rsidRPr="00E817FF" w:rsidRDefault="00E817FF" w:rsidP="00E817FF">
      <w:pPr>
        <w:pStyle w:val="ListParagraph"/>
        <w:numPr>
          <w:ilvl w:val="0"/>
          <w:numId w:val="1"/>
        </w:numPr>
      </w:pPr>
      <w:r>
        <w:rPr>
          <w:noProof/>
        </w:rPr>
        <mc:AlternateContent>
          <mc:Choice Requires="wpg">
            <w:drawing>
              <wp:anchor distT="45720" distB="45720" distL="182880" distR="182880" simplePos="0" relativeHeight="251659264" behindDoc="0" locked="0" layoutInCell="1" allowOverlap="1">
                <wp:simplePos x="0" y="0"/>
                <wp:positionH relativeFrom="margin">
                  <wp:align>right</wp:align>
                </wp:positionH>
                <wp:positionV relativeFrom="margin">
                  <wp:posOffset>4981575</wp:posOffset>
                </wp:positionV>
                <wp:extent cx="5743575" cy="2676525"/>
                <wp:effectExtent l="0" t="0" r="28575" b="9525"/>
                <wp:wrapSquare wrapText="bothSides"/>
                <wp:docPr id="198" name="Group 198"/>
                <wp:cNvGraphicFramePr/>
                <a:graphic xmlns:a="http://schemas.openxmlformats.org/drawingml/2006/main">
                  <a:graphicData uri="http://schemas.microsoft.com/office/word/2010/wordprocessingGroup">
                    <wpg:wgp>
                      <wpg:cNvGrpSpPr/>
                      <wpg:grpSpPr>
                        <a:xfrm>
                          <a:off x="0" y="0"/>
                          <a:ext cx="5743575" cy="2676525"/>
                          <a:chOff x="0" y="0"/>
                          <a:chExt cx="3567448" cy="1539569"/>
                        </a:xfrm>
                      </wpg:grpSpPr>
                      <wps:wsp>
                        <wps:cNvPr id="199" name="Rectangle 199"/>
                        <wps:cNvSpPr/>
                        <wps:spPr>
                          <a:xfrm>
                            <a:off x="0" y="0"/>
                            <a:ext cx="3567448" cy="175325"/>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17FF" w:rsidRPr="00E817FF" w:rsidRDefault="00E817FF" w:rsidP="00E817FF">
                              <w:pPr>
                                <w:shd w:val="clear" w:color="auto" w:fill="C00000"/>
                                <w:rPr>
                                  <w:rFonts w:asciiTheme="majorHAnsi" w:eastAsiaTheme="majorEastAsia" w:hAnsiTheme="majorHAnsi" w:cstheme="majorBidi"/>
                                  <w:b/>
                                  <w:color w:val="FFFFFF" w:themeColor="background1"/>
                                  <w:sz w:val="24"/>
                                  <w:szCs w:val="28"/>
                                </w:rPr>
                              </w:pPr>
                              <w:r w:rsidRPr="00E817FF">
                                <w:rPr>
                                  <w:rFonts w:asciiTheme="majorHAnsi" w:eastAsiaTheme="majorEastAsia" w:hAnsiTheme="majorHAnsi" w:cstheme="majorBidi"/>
                                  <w:b/>
                                  <w:color w:val="FFFFFF" w:themeColor="background1"/>
                                  <w:sz w:val="24"/>
                                  <w:szCs w:val="28"/>
                                </w:rPr>
                                <w:t>Your 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17FF" w:rsidRDefault="00E817FF">
                              <w:pPr>
                                <w:rPr>
                                  <w:caps/>
                                  <w:color w:val="4472C4" w:themeColor="accent1"/>
                                  <w:sz w:val="26"/>
                                  <w:szCs w:val="26"/>
                                </w:rPr>
                              </w:pPr>
                            </w:p>
                            <w:p w:rsidR="00E817FF" w:rsidRDefault="00E817FF">
                              <w:pPr>
                                <w:rPr>
                                  <w:caps/>
                                  <w:color w:val="4472C4" w:themeColor="accent1"/>
                                  <w:sz w:val="26"/>
                                  <w:szCs w:val="26"/>
                                </w:rPr>
                              </w:pPr>
                            </w:p>
                            <w:p w:rsidR="00E817FF" w:rsidRDefault="00E817FF">
                              <w:pPr>
                                <w:rPr>
                                  <w:caps/>
                                  <w:color w:val="4472C4" w:themeColor="accent1"/>
                                  <w:sz w:val="26"/>
                                  <w:szCs w:val="26"/>
                                </w:rPr>
                              </w:pPr>
                            </w:p>
                            <w:p w:rsidR="00E817FF" w:rsidRDefault="00E817FF">
                              <w:pPr>
                                <w:rPr>
                                  <w:caps/>
                                  <w:color w:val="4472C4" w:themeColor="accent1"/>
                                  <w:sz w:val="26"/>
                                  <w:szCs w:val="26"/>
                                </w:rPr>
                              </w:pPr>
                            </w:p>
                            <w:p w:rsidR="00E817FF" w:rsidRDefault="00E817FF">
                              <w:pPr>
                                <w:rPr>
                                  <w:caps/>
                                  <w:color w:val="4472C4" w:themeColor="accent1"/>
                                  <w:sz w:val="26"/>
                                  <w:szCs w:val="26"/>
                                </w:rPr>
                              </w:pPr>
                            </w:p>
                            <w:p w:rsidR="00E817FF" w:rsidRDefault="00E817FF">
                              <w:pPr>
                                <w:rPr>
                                  <w:caps/>
                                  <w:color w:val="4472C4" w:themeColor="accent1"/>
                                  <w:sz w:val="26"/>
                                  <w:szCs w:val="26"/>
                                </w:rPr>
                              </w:pPr>
                            </w:p>
                            <w:p w:rsidR="00E817FF" w:rsidRDefault="00E817FF">
                              <w:pPr>
                                <w:rPr>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98" o:spid="_x0000_s1026" style="position:absolute;left:0;text-align:left;margin-left:401.05pt;margin-top:392.25pt;width:452.25pt;height:210.75pt;z-index:251659264;mso-wrap-distance-left:14.4pt;mso-wrap-distance-top:3.6pt;mso-wrap-distance-right:14.4pt;mso-wrap-distance-bottom:3.6pt;mso-position-horizontal:right;mso-position-horizontal-relative:margin;mso-position-vertical-relative:margin;mso-width-relative:margin;mso-height-relative:margin" coordsize="35674,1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">
                <v:rect id="Rectangle 199" o:spid="_x0000_s1027" style="position:absolute;width:35674;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" fillcolor="#c00000" strokecolor="#c00000" strokeweight="1pt">
                  <v:textbox>
                    <w:txbxContent>
                      <w:p w:rsidR="00E817FF" w:rsidRPr="00E817FF" w:rsidRDefault="00E817FF" w:rsidP="00E817FF">
                        <w:pPr>
                          <w:shd w:val="clear" w:color="auto" w:fill="C00000"/>
                          <w:rPr>
                            <w:rFonts w:asciiTheme="majorHAnsi" w:eastAsiaTheme="majorEastAsia" w:hAnsiTheme="majorHAnsi" w:cstheme="majorBidi"/>
                            <w:b/>
                            <w:color w:val="FFFFFF" w:themeColor="background1"/>
                            <w:sz w:val="24"/>
                            <w:szCs w:val="28"/>
                          </w:rPr>
                        </w:pPr>
                        <w:r w:rsidRPr="00E817FF">
                          <w:rPr>
                            <w:rFonts w:asciiTheme="majorHAnsi" w:eastAsiaTheme="majorEastAsia" w:hAnsiTheme="majorHAnsi" w:cstheme="majorBidi"/>
                            <w:b/>
                            <w:color w:val="FFFFFF" w:themeColor="background1"/>
                            <w:sz w:val="24"/>
                            <w:szCs w:val="28"/>
                          </w:rPr>
                          <w:t>Your Notes:</w:t>
                        </w: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rsidR="00E817FF" w:rsidRDefault="00E817FF">
                        <w:pPr>
                          <w:rPr>
                            <w:caps/>
                            <w:color w:val="4472C4" w:themeColor="accent1"/>
                            <w:sz w:val="26"/>
                            <w:szCs w:val="26"/>
                          </w:rPr>
                        </w:pPr>
                      </w:p>
                      <w:p w:rsidR="00E817FF" w:rsidRDefault="00E817FF">
                        <w:pPr>
                          <w:rPr>
                            <w:caps/>
                            <w:color w:val="4472C4" w:themeColor="accent1"/>
                            <w:sz w:val="26"/>
                            <w:szCs w:val="26"/>
                          </w:rPr>
                        </w:pPr>
                      </w:p>
                      <w:p w:rsidR="00E817FF" w:rsidRDefault="00E817FF">
                        <w:pPr>
                          <w:rPr>
                            <w:caps/>
                            <w:color w:val="4472C4" w:themeColor="accent1"/>
                            <w:sz w:val="26"/>
                            <w:szCs w:val="26"/>
                          </w:rPr>
                        </w:pPr>
                      </w:p>
                      <w:p w:rsidR="00E817FF" w:rsidRDefault="00E817FF">
                        <w:pPr>
                          <w:rPr>
                            <w:caps/>
                            <w:color w:val="4472C4" w:themeColor="accent1"/>
                            <w:sz w:val="26"/>
                            <w:szCs w:val="26"/>
                          </w:rPr>
                        </w:pPr>
                      </w:p>
                      <w:p w:rsidR="00E817FF" w:rsidRDefault="00E817FF">
                        <w:pPr>
                          <w:rPr>
                            <w:caps/>
                            <w:color w:val="4472C4" w:themeColor="accent1"/>
                            <w:sz w:val="26"/>
                            <w:szCs w:val="26"/>
                          </w:rPr>
                        </w:pPr>
                      </w:p>
                      <w:p w:rsidR="00E817FF" w:rsidRDefault="00E817FF">
                        <w:pPr>
                          <w:rPr>
                            <w:caps/>
                            <w:color w:val="4472C4" w:themeColor="accent1"/>
                            <w:sz w:val="26"/>
                            <w:szCs w:val="26"/>
                          </w:rPr>
                        </w:pPr>
                      </w:p>
                      <w:p w:rsidR="00E817FF" w:rsidRDefault="00E817FF">
                        <w:pPr>
                          <w:rPr>
                            <w:caps/>
                            <w:color w:val="4472C4" w:themeColor="accent1"/>
                            <w:sz w:val="26"/>
                            <w:szCs w:val="26"/>
                          </w:rPr>
                        </w:pPr>
                      </w:p>
                    </w:txbxContent>
                  </v:textbox>
                </v:shape>
                <w10:wrap type="square" anchorx="margin" anchory="margin"/>
              </v:group>
            </w:pict>
          </mc:Fallback>
        </mc:AlternateContent>
      </w:r>
      <w:r w:rsidR="00D67EED">
        <w:t xml:space="preserve">Institutional leaders will continue to capitalize on moments of controversy or crisis to remake the curriculum in ways that reflect existing logics of minority absorption (Ferguson, 2012), academic capitalism, and audit culture (e.g. West Virginia, Florida). </w:t>
      </w:r>
    </w:p>
    <w:p w:rsidR="00D67EED" w:rsidRPr="00E96FA2" w:rsidRDefault="00D67EED" w:rsidP="00E96FA2">
      <w:pPr>
        <w:jc w:val="center"/>
        <w:rPr>
          <w:i/>
          <w:u w:val="single"/>
        </w:rPr>
      </w:pPr>
      <w:r w:rsidRPr="00E96FA2">
        <w:rPr>
          <w:i/>
          <w:u w:val="single"/>
        </w:rPr>
        <w:lastRenderedPageBreak/>
        <w:t>Part 2: Guided Pathways and Transfer Advice Networks</w:t>
      </w:r>
    </w:p>
    <w:p w:rsidR="00D67EED" w:rsidRDefault="00E96FA2" w:rsidP="00D67EED">
      <w:pPr>
        <w:rPr>
          <w:i/>
        </w:rPr>
      </w:pPr>
      <w:r>
        <w:rPr>
          <w:i/>
        </w:rPr>
        <w:t>Key Texts</w:t>
      </w:r>
      <w:r w:rsidR="00D67EED">
        <w:rPr>
          <w:i/>
        </w:rPr>
        <w:t>:</w:t>
      </w:r>
    </w:p>
    <w:p w:rsidR="00E96FA2" w:rsidRDefault="00E96FA2" w:rsidP="00E96FA2">
      <w:bookmarkStart w:id="0" w:name="_GoBack"/>
      <w:r w:rsidRPr="00E96FA2">
        <w:t xml:space="preserve">Benjamin, R. (2019). </w:t>
      </w:r>
      <w:r w:rsidRPr="00765B4C">
        <w:rPr>
          <w:i/>
        </w:rPr>
        <w:t>Race After Technology: Abolitionist Tools for the New Jim Code</w:t>
      </w:r>
      <w:r w:rsidRPr="00E96FA2">
        <w:t>. John Wiley &amp; Sons.</w:t>
      </w:r>
    </w:p>
    <w:p w:rsidR="00D67EED" w:rsidRDefault="00D67EED" w:rsidP="00D67EED">
      <w:pPr>
        <w:ind w:left="720" w:hanging="720"/>
      </w:pPr>
      <w:r w:rsidRPr="00D67EED">
        <w:t xml:space="preserve">Bidart, C., Degenne, A., &amp; Grossetti, M. (2020). </w:t>
      </w:r>
      <w:r w:rsidRPr="00D67EED">
        <w:rPr>
          <w:i/>
          <w:iCs/>
        </w:rPr>
        <w:t>Living in networks: The dynamics of social relations</w:t>
      </w:r>
      <w:r w:rsidRPr="00D67EED">
        <w:t xml:space="preserve"> (Vol. 49). Cambridge University Press.</w:t>
      </w:r>
    </w:p>
    <w:p w:rsidR="00E96FA2" w:rsidRDefault="00E96FA2" w:rsidP="00D67EED">
      <w:pPr>
        <w:ind w:left="720" w:hanging="720"/>
      </w:pPr>
      <w:r>
        <w:t xml:space="preserve">Perotta, Carl (2023). </w:t>
      </w:r>
      <w:r w:rsidRPr="00765B4C">
        <w:rPr>
          <w:i/>
        </w:rPr>
        <w:t>Plug and Play Education</w:t>
      </w:r>
      <w:r>
        <w:t xml:space="preserve"> Excerpt. Retrieved from: </w:t>
      </w:r>
      <w:hyperlink r:id="rId10" w:history="1">
        <w:r w:rsidRPr="00CC664E">
          <w:rPr>
            <w:rStyle w:val="Hyperlink"/>
          </w:rPr>
          <w:t>https://automatedonline.org/2023/11/28/plug-and-play-education-knowledge-and-learning-in-the-age-of-platforms-and-artificial-intelligence-2024/</w:t>
        </w:r>
      </w:hyperlink>
      <w:r>
        <w:t xml:space="preserve"> on 11/29/23</w:t>
      </w:r>
    </w:p>
    <w:p w:rsidR="00D67EED" w:rsidRPr="00D67EED" w:rsidRDefault="00D67EED" w:rsidP="00D67EED">
      <w:r w:rsidRPr="00D67EED">
        <w:t xml:space="preserve">Small, M. L. (2017). </w:t>
      </w:r>
      <w:r w:rsidRPr="00D67EED">
        <w:rPr>
          <w:i/>
          <w:iCs/>
        </w:rPr>
        <w:t>Someone to talk to</w:t>
      </w:r>
      <w:r w:rsidRPr="00D67EED">
        <w:t>. Oxford University Press.</w:t>
      </w:r>
    </w:p>
    <w:p w:rsidR="00D67EED" w:rsidRDefault="00D67EED" w:rsidP="00D67EED">
      <w:pPr>
        <w:ind w:left="720" w:hanging="720"/>
      </w:pPr>
      <w:r>
        <w:t xml:space="preserve">Sotherland, N., Stange, K., and Matsudaira, J. (2023). </w:t>
      </w:r>
      <w:r w:rsidRPr="00765B4C">
        <w:rPr>
          <w:i/>
        </w:rPr>
        <w:t>New Measures of Postsecondary Education Transfer Performance: Transfer-out rates for community colleges, transfer student graduation rates at four-year colleges, and the institutional dyads contributing to transfer student success</w:t>
      </w:r>
      <w:r>
        <w:t xml:space="preserve"> Retrieved from: </w:t>
      </w:r>
      <w:hyperlink r:id="rId11" w:history="1">
        <w:r w:rsidRPr="00CC664E">
          <w:rPr>
            <w:rStyle w:val="Hyperlink"/>
          </w:rPr>
          <w:t>https://blog.ed.gov/2023/11/new-measures-of-postsecondary-education-transfer-performance-transfer-out-rates-for-community-colleges-transfer-student-graduation-rates-at-four-year-colleges-and-the-institutional-dyads-contributi/</w:t>
        </w:r>
      </w:hyperlink>
      <w:r>
        <w:t xml:space="preserve"> on 11/29/23 </w:t>
      </w:r>
    </w:p>
    <w:p w:rsidR="00E96FA2" w:rsidRDefault="00E96FA2" w:rsidP="00D67EED">
      <w:pPr>
        <w:ind w:left="720" w:hanging="720"/>
      </w:pPr>
      <w:r>
        <w:rPr>
          <w:rFonts w:ascii="Arial" w:hAnsi="Arial" w:cs="Arial"/>
          <w:color w:val="222222"/>
          <w:sz w:val="20"/>
          <w:szCs w:val="20"/>
          <w:shd w:val="clear" w:color="auto" w:fill="FFFFFF"/>
        </w:rPr>
        <w:t>Stanton-Salazar, R. D. (2011). A social capital framework for the study of institutional agents and their role in the empowerment of low-status students and youth. </w:t>
      </w:r>
      <w:r>
        <w:rPr>
          <w:rFonts w:ascii="Arial" w:hAnsi="Arial" w:cs="Arial"/>
          <w:i/>
          <w:iCs/>
          <w:color w:val="222222"/>
          <w:sz w:val="20"/>
          <w:szCs w:val="20"/>
          <w:shd w:val="clear" w:color="auto" w:fill="FFFFFF"/>
        </w:rPr>
        <w:t>Youth &amp; Society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43</w:t>
      </w:r>
      <w:r>
        <w:rPr>
          <w:rFonts w:ascii="Arial" w:hAnsi="Arial" w:cs="Arial"/>
          <w:color w:val="222222"/>
          <w:sz w:val="20"/>
          <w:szCs w:val="20"/>
          <w:shd w:val="clear" w:color="auto" w:fill="FFFFFF"/>
        </w:rPr>
        <w:t xml:space="preserve">(3), 1066-1109. </w:t>
      </w:r>
    </w:p>
    <w:bookmarkEnd w:id="0"/>
    <w:p w:rsidR="00D67EED" w:rsidRPr="00D67EED" w:rsidRDefault="00D67EED" w:rsidP="00D67EED">
      <w:pPr>
        <w:rPr>
          <w:i/>
        </w:rPr>
      </w:pPr>
      <w:r w:rsidRPr="00D67EED">
        <w:rPr>
          <w:i/>
        </w:rPr>
        <w:t>Methodological Resources:</w:t>
      </w:r>
    </w:p>
    <w:p w:rsidR="00D67EED" w:rsidRDefault="007F5ED4" w:rsidP="00D67EED">
      <w:hyperlink r:id="rId12" w:history="1">
        <w:r w:rsidR="00E96FA2" w:rsidRPr="00CC664E">
          <w:rPr>
            <w:rStyle w:val="Hyperlink"/>
          </w:rPr>
          <w:t>https://networkcanvas.com/</w:t>
        </w:r>
      </w:hyperlink>
    </w:p>
    <w:p w:rsidR="00E96FA2" w:rsidRDefault="00E96FA2" w:rsidP="00D67EED">
      <w:pPr>
        <w:rPr>
          <w:i/>
        </w:rPr>
      </w:pPr>
      <w:r w:rsidRPr="00E96FA2">
        <w:rPr>
          <w:i/>
        </w:rPr>
        <w:t>Key Points:</w:t>
      </w:r>
    </w:p>
    <w:p w:rsidR="00E96FA2" w:rsidRDefault="00E96FA2" w:rsidP="00E96FA2">
      <w:pPr>
        <w:pStyle w:val="ListParagraph"/>
        <w:numPr>
          <w:ilvl w:val="0"/>
          <w:numId w:val="2"/>
        </w:numPr>
      </w:pPr>
      <w:r w:rsidRPr="00E96FA2">
        <w:t>Transfer success dyads are not unidirectional. Students</w:t>
      </w:r>
      <w:r>
        <w:t xml:space="preserve"> swirl among schools and they often engage in double dipping.</w:t>
      </w:r>
    </w:p>
    <w:p w:rsidR="00E96FA2" w:rsidRDefault="00E96FA2" w:rsidP="00E96FA2">
      <w:pPr>
        <w:pStyle w:val="ListParagraph"/>
        <w:numPr>
          <w:ilvl w:val="0"/>
          <w:numId w:val="2"/>
        </w:numPr>
      </w:pPr>
      <w:r>
        <w:t>Students’ transfer advice seeking networks reflect the multiple institutional environments where they take courses, but campus support services are often place- and institution-based.</w:t>
      </w:r>
    </w:p>
    <w:p w:rsidR="00E96FA2" w:rsidRDefault="00E96FA2" w:rsidP="00E96FA2">
      <w:pPr>
        <w:pStyle w:val="ListParagraph"/>
        <w:numPr>
          <w:ilvl w:val="0"/>
          <w:numId w:val="2"/>
        </w:numPr>
      </w:pPr>
      <w:r>
        <w:t xml:space="preserve">Institutions need to develop help seeking resources  that reflect the complexity of students’ enrollments if their curricular structure allows students to span multiple institutional environments. </w:t>
      </w:r>
    </w:p>
    <w:p w:rsidR="00E96FA2" w:rsidRDefault="00E96FA2" w:rsidP="00E96FA2">
      <w:pPr>
        <w:pStyle w:val="ListParagraph"/>
        <w:numPr>
          <w:ilvl w:val="0"/>
          <w:numId w:val="2"/>
        </w:numPr>
      </w:pPr>
      <w:r>
        <w:t>Students who are isolated, in part because of their course taking across multiple institutional contexts, often turn to digital technologies (what’s often termed non-human agents in the literature) for informational and academic resources</w:t>
      </w:r>
    </w:p>
    <w:p w:rsidR="00E96FA2" w:rsidRDefault="00E96FA2" w:rsidP="00E96FA2">
      <w:pPr>
        <w:pStyle w:val="ListParagraph"/>
        <w:numPr>
          <w:ilvl w:val="0"/>
          <w:numId w:val="2"/>
        </w:numPr>
      </w:pPr>
      <w:r>
        <w:t xml:space="preserve">These technologies are not connected to broader campus ecologies. They extract information about students through their use, but that information is not looped back into broader campus support networks. </w:t>
      </w:r>
    </w:p>
    <w:p w:rsidR="00E96FA2" w:rsidRDefault="00E96FA2" w:rsidP="00E96FA2">
      <w:pPr>
        <w:pStyle w:val="ListParagraph"/>
        <w:numPr>
          <w:ilvl w:val="0"/>
          <w:numId w:val="2"/>
        </w:numPr>
      </w:pPr>
      <w:r>
        <w:t>Further research is needed that explores the role of non-human agents in how students navigate the curriculum</w:t>
      </w:r>
      <w:r w:rsidR="00816601">
        <w:t xml:space="preserve"> and how students’ engagement with non-human agents impact their interactions and relationship formation with human institutional agents across campus. </w:t>
      </w:r>
    </w:p>
    <w:p w:rsidR="00E817FF" w:rsidRDefault="00E817FF" w:rsidP="00E817FF">
      <w:pPr>
        <w:ind w:left="405"/>
      </w:pPr>
    </w:p>
    <w:p w:rsidR="00E817FF" w:rsidRPr="00E96FA2" w:rsidRDefault="00E817FF" w:rsidP="00E817FF">
      <w:pPr>
        <w:ind w:left="405"/>
      </w:pPr>
      <w:r>
        <w:rPr>
          <w:noProof/>
        </w:rPr>
        <w:lastRenderedPageBreak/>
        <mc:AlternateContent>
          <mc:Choice Requires="wpg">
            <w:drawing>
              <wp:anchor distT="45720" distB="45720" distL="182880" distR="182880" simplePos="0" relativeHeight="251661312" behindDoc="0" locked="0" layoutInCell="1" allowOverlap="1" wp14:anchorId="18867E6F" wp14:editId="7AAD1C40">
                <wp:simplePos x="0" y="0"/>
                <wp:positionH relativeFrom="margin">
                  <wp:posOffset>0</wp:posOffset>
                </wp:positionH>
                <wp:positionV relativeFrom="margin">
                  <wp:posOffset>-9524</wp:posOffset>
                </wp:positionV>
                <wp:extent cx="5848350" cy="10848974"/>
                <wp:effectExtent l="0" t="0" r="19050" b="10160"/>
                <wp:wrapSquare wrapText="bothSides"/>
                <wp:docPr id="1" name="Group 1"/>
                <wp:cNvGraphicFramePr/>
                <a:graphic xmlns:a="http://schemas.openxmlformats.org/drawingml/2006/main">
                  <a:graphicData uri="http://schemas.microsoft.com/office/word/2010/wordprocessingGroup">
                    <wpg:wgp>
                      <wpg:cNvGrpSpPr/>
                      <wpg:grpSpPr>
                        <a:xfrm>
                          <a:off x="0" y="0"/>
                          <a:ext cx="5848350" cy="10848974"/>
                          <a:chOff x="0" y="-4700890"/>
                          <a:chExt cx="3632526" cy="6240459"/>
                        </a:xfrm>
                      </wpg:grpSpPr>
                      <wps:wsp>
                        <wps:cNvPr id="2" name="Rectangle 2"/>
                        <wps:cNvSpPr/>
                        <wps:spPr>
                          <a:xfrm>
                            <a:off x="65078" y="-4700890"/>
                            <a:ext cx="3567448" cy="175325"/>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17FF" w:rsidRPr="00E817FF" w:rsidRDefault="00E817FF" w:rsidP="00E817FF">
                              <w:pPr>
                                <w:shd w:val="clear" w:color="auto" w:fill="C00000"/>
                                <w:rPr>
                                  <w:rFonts w:asciiTheme="majorHAnsi" w:eastAsiaTheme="majorEastAsia" w:hAnsiTheme="majorHAnsi" w:cstheme="majorBidi"/>
                                  <w:b/>
                                  <w:color w:val="FFFFFF" w:themeColor="background1"/>
                                  <w:sz w:val="24"/>
                                  <w:szCs w:val="28"/>
                                </w:rPr>
                              </w:pPr>
                              <w:r w:rsidRPr="00E817FF">
                                <w:rPr>
                                  <w:rFonts w:asciiTheme="majorHAnsi" w:eastAsiaTheme="majorEastAsia" w:hAnsiTheme="majorHAnsi" w:cstheme="majorBidi"/>
                                  <w:b/>
                                  <w:color w:val="FFFFFF" w:themeColor="background1"/>
                                  <w:sz w:val="24"/>
                                  <w:szCs w:val="28"/>
                                </w:rPr>
                                <w:t>Your 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252695"/>
                            <a:ext cx="3567448"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17FF" w:rsidRDefault="00E817FF" w:rsidP="00E817FF">
                              <w:pPr>
                                <w:rPr>
                                  <w:caps/>
                                  <w:color w:val="4472C4" w:themeColor="accent1"/>
                                  <w:sz w:val="26"/>
                                  <w:szCs w:val="26"/>
                                </w:rPr>
                              </w:pPr>
                            </w:p>
                            <w:p w:rsidR="00E817FF" w:rsidRDefault="00E817FF" w:rsidP="00E817FF">
                              <w:pPr>
                                <w:rPr>
                                  <w:caps/>
                                  <w:color w:val="4472C4" w:themeColor="accent1"/>
                                  <w:sz w:val="26"/>
                                  <w:szCs w:val="26"/>
                                </w:rPr>
                              </w:pPr>
                            </w:p>
                            <w:p w:rsidR="00E817FF" w:rsidRDefault="00E817FF" w:rsidP="00E817FF">
                              <w:pPr>
                                <w:rPr>
                                  <w:caps/>
                                  <w:color w:val="4472C4" w:themeColor="accent1"/>
                                  <w:sz w:val="26"/>
                                  <w:szCs w:val="26"/>
                                </w:rPr>
                              </w:pPr>
                            </w:p>
                            <w:p w:rsidR="00E817FF" w:rsidRDefault="00E817FF" w:rsidP="00E817FF">
                              <w:pPr>
                                <w:rPr>
                                  <w:caps/>
                                  <w:color w:val="4472C4" w:themeColor="accent1"/>
                                  <w:sz w:val="26"/>
                                  <w:szCs w:val="26"/>
                                </w:rPr>
                              </w:pPr>
                            </w:p>
                            <w:p w:rsidR="00E817FF" w:rsidRDefault="00E817FF" w:rsidP="00E817FF">
                              <w:pPr>
                                <w:rPr>
                                  <w:caps/>
                                  <w:color w:val="4472C4" w:themeColor="accent1"/>
                                  <w:sz w:val="26"/>
                                  <w:szCs w:val="26"/>
                                </w:rPr>
                              </w:pPr>
                            </w:p>
                            <w:p w:rsidR="00E817FF" w:rsidRDefault="00E817FF" w:rsidP="00E817FF">
                              <w:pPr>
                                <w:rPr>
                                  <w:caps/>
                                  <w:color w:val="4472C4" w:themeColor="accent1"/>
                                  <w:sz w:val="26"/>
                                  <w:szCs w:val="26"/>
                                </w:rPr>
                              </w:pPr>
                            </w:p>
                            <w:p w:rsidR="00E817FF" w:rsidRDefault="00E817FF" w:rsidP="00E817FF">
                              <w:pPr>
                                <w:rPr>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867E6F" id="Group 1" o:spid="_x0000_s1029" style="position:absolute;left:0;text-align:left;margin-left:0;margin-top:-.75pt;width:460.5pt;height:854.25pt;z-index:251661312;mso-wrap-distance-left:14.4pt;mso-wrap-distance-top:3.6pt;mso-wrap-distance-right:14.4pt;mso-wrap-distance-bottom:3.6pt;mso-position-horizontal-relative:margin;mso-position-vertical-relative:margin;mso-width-relative:margin;mso-height-relative:margin" coordorigin=",-47008" coordsize="36325,6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">
                <v:rect id="Rectangle 2" o:spid="_x0000_s1030" style="position:absolute;left:650;top:-47008;width:35675;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" fillcolor="#c00000" strokecolor="#c00000" strokeweight="1pt">
                  <v:textbox>
                    <w:txbxContent>
                      <w:p w:rsidR="00E817FF" w:rsidRPr="00E817FF" w:rsidRDefault="00E817FF" w:rsidP="00E817FF">
                        <w:pPr>
                          <w:shd w:val="clear" w:color="auto" w:fill="C00000"/>
                          <w:rPr>
                            <w:rFonts w:asciiTheme="majorHAnsi" w:eastAsiaTheme="majorEastAsia" w:hAnsiTheme="majorHAnsi" w:cstheme="majorBidi"/>
                            <w:b/>
                            <w:color w:val="FFFFFF" w:themeColor="background1"/>
                            <w:sz w:val="24"/>
                            <w:szCs w:val="28"/>
                          </w:rPr>
                        </w:pPr>
                        <w:r w:rsidRPr="00E817FF">
                          <w:rPr>
                            <w:rFonts w:asciiTheme="majorHAnsi" w:eastAsiaTheme="majorEastAsia" w:hAnsiTheme="majorHAnsi" w:cstheme="majorBidi"/>
                            <w:b/>
                            <w:color w:val="FFFFFF" w:themeColor="background1"/>
                            <w:sz w:val="24"/>
                            <w:szCs w:val="28"/>
                          </w:rPr>
                          <w:t>Your Notes:</w:t>
                        </w:r>
                      </w:p>
                    </w:txbxContent>
                  </v:textbox>
                </v:rect>
                <v:shape id="Text Box 3" o:spid="_x0000_s1031" type="#_x0000_t202" style="position:absolute;top:2526;width:35674;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" filled="f" stroked="f" strokeweight=".5pt">
                  <v:textbox inset=",7.2pt,,0">
                    <w:txbxContent>
                      <w:p w:rsidR="00E817FF" w:rsidRDefault="00E817FF" w:rsidP="00E817FF">
                        <w:pPr>
                          <w:rPr>
                            <w:caps/>
                            <w:color w:val="4472C4" w:themeColor="accent1"/>
                            <w:sz w:val="26"/>
                            <w:szCs w:val="26"/>
                          </w:rPr>
                        </w:pPr>
                      </w:p>
                      <w:p w:rsidR="00E817FF" w:rsidRDefault="00E817FF" w:rsidP="00E817FF">
                        <w:pPr>
                          <w:rPr>
                            <w:caps/>
                            <w:color w:val="4472C4" w:themeColor="accent1"/>
                            <w:sz w:val="26"/>
                            <w:szCs w:val="26"/>
                          </w:rPr>
                        </w:pPr>
                      </w:p>
                      <w:p w:rsidR="00E817FF" w:rsidRDefault="00E817FF" w:rsidP="00E817FF">
                        <w:pPr>
                          <w:rPr>
                            <w:caps/>
                            <w:color w:val="4472C4" w:themeColor="accent1"/>
                            <w:sz w:val="26"/>
                            <w:szCs w:val="26"/>
                          </w:rPr>
                        </w:pPr>
                      </w:p>
                      <w:p w:rsidR="00E817FF" w:rsidRDefault="00E817FF" w:rsidP="00E817FF">
                        <w:pPr>
                          <w:rPr>
                            <w:caps/>
                            <w:color w:val="4472C4" w:themeColor="accent1"/>
                            <w:sz w:val="26"/>
                            <w:szCs w:val="26"/>
                          </w:rPr>
                        </w:pPr>
                      </w:p>
                      <w:p w:rsidR="00E817FF" w:rsidRDefault="00E817FF" w:rsidP="00E817FF">
                        <w:pPr>
                          <w:rPr>
                            <w:caps/>
                            <w:color w:val="4472C4" w:themeColor="accent1"/>
                            <w:sz w:val="26"/>
                            <w:szCs w:val="26"/>
                          </w:rPr>
                        </w:pPr>
                      </w:p>
                      <w:p w:rsidR="00E817FF" w:rsidRDefault="00E817FF" w:rsidP="00E817FF">
                        <w:pPr>
                          <w:rPr>
                            <w:caps/>
                            <w:color w:val="4472C4" w:themeColor="accent1"/>
                            <w:sz w:val="26"/>
                            <w:szCs w:val="26"/>
                          </w:rPr>
                        </w:pPr>
                      </w:p>
                      <w:p w:rsidR="00E817FF" w:rsidRDefault="00E817FF" w:rsidP="00E817FF">
                        <w:pPr>
                          <w:rPr>
                            <w:caps/>
                            <w:color w:val="4472C4" w:themeColor="accent1"/>
                            <w:sz w:val="26"/>
                            <w:szCs w:val="26"/>
                          </w:rPr>
                        </w:pPr>
                      </w:p>
                    </w:txbxContent>
                  </v:textbox>
                </v:shape>
                <w10:wrap type="square" anchorx="margin" anchory="margin"/>
              </v:group>
            </w:pict>
          </mc:Fallback>
        </mc:AlternateContent>
      </w:r>
    </w:p>
    <w:sectPr w:rsidR="00E817FF" w:rsidRPr="00E96F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ED4" w:rsidRDefault="007F5ED4" w:rsidP="00E96FA2">
      <w:pPr>
        <w:spacing w:after="0" w:line="240" w:lineRule="auto"/>
      </w:pPr>
      <w:r>
        <w:separator/>
      </w:r>
    </w:p>
  </w:endnote>
  <w:endnote w:type="continuationSeparator" w:id="0">
    <w:p w:rsidR="007F5ED4" w:rsidRDefault="007F5ED4" w:rsidP="00E96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ED4" w:rsidRDefault="007F5ED4" w:rsidP="00E96FA2">
      <w:pPr>
        <w:spacing w:after="0" w:line="240" w:lineRule="auto"/>
      </w:pPr>
      <w:r>
        <w:separator/>
      </w:r>
    </w:p>
  </w:footnote>
  <w:footnote w:type="continuationSeparator" w:id="0">
    <w:p w:rsidR="007F5ED4" w:rsidRDefault="007F5ED4" w:rsidP="00E96FA2">
      <w:pPr>
        <w:spacing w:after="0" w:line="240" w:lineRule="auto"/>
      </w:pPr>
      <w:r>
        <w:continuationSeparator/>
      </w:r>
    </w:p>
  </w:footnote>
  <w:footnote w:id="1">
    <w:p w:rsidR="00E96FA2" w:rsidRDefault="00E96FA2" w:rsidP="00E96FA2">
      <w:pPr>
        <w:ind w:left="720" w:hanging="720"/>
      </w:pPr>
      <w:r>
        <w:rPr>
          <w:rStyle w:val="FootnoteReference"/>
        </w:rPr>
        <w:footnoteRef/>
      </w:r>
      <w:r>
        <w:t xml:space="preserve"> </w:t>
      </w:r>
      <w:r w:rsidRPr="00E96FA2">
        <w:t>This article contains a detailed appendix describing our methodological approach and our corpus.</w:t>
      </w:r>
    </w:p>
  </w:footnote>
  <w:footnote w:id="2">
    <w:p w:rsidR="00C50B11" w:rsidRDefault="00C50B11">
      <w:pPr>
        <w:pStyle w:val="FootnoteText"/>
      </w:pPr>
      <w:r>
        <w:rPr>
          <w:rStyle w:val="FootnoteReference"/>
        </w:rPr>
        <w:footnoteRef/>
      </w:r>
      <w:r>
        <w:t xml:space="preserve"> </w:t>
      </w:r>
      <w:r>
        <w:rPr>
          <w:rFonts w:ascii="Arial" w:hAnsi="Arial" w:cs="Arial"/>
          <w:color w:val="222222"/>
          <w:shd w:val="clear" w:color="auto" w:fill="FFFFFF"/>
        </w:rPr>
        <w:t>Taylor, B. J. (2022). </w:t>
      </w:r>
      <w:r>
        <w:rPr>
          <w:rFonts w:ascii="Arial" w:hAnsi="Arial" w:cs="Arial"/>
          <w:i/>
          <w:iCs/>
          <w:color w:val="222222"/>
          <w:shd w:val="clear" w:color="auto" w:fill="FFFFFF"/>
        </w:rPr>
        <w:t>Wrecked: Deinstitutionalization and partial defenses in state higher education policy</w:t>
      </w:r>
      <w:r>
        <w:rPr>
          <w:rFonts w:ascii="Arial" w:hAnsi="Arial" w:cs="Arial"/>
          <w:color w:val="222222"/>
          <w:shd w:val="clear" w:color="auto" w:fill="FFFFFF"/>
        </w:rPr>
        <w:t>. Rutgers University Press.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416543"/>
    <w:multiLevelType w:val="hybridMultilevel"/>
    <w:tmpl w:val="1152DE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7D032EDC"/>
    <w:multiLevelType w:val="hybridMultilevel"/>
    <w:tmpl w:val="D28C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EC"/>
    <w:rsid w:val="00187339"/>
    <w:rsid w:val="005B5C82"/>
    <w:rsid w:val="00765B4C"/>
    <w:rsid w:val="007F5ED4"/>
    <w:rsid w:val="00816601"/>
    <w:rsid w:val="00B031EC"/>
    <w:rsid w:val="00C3236E"/>
    <w:rsid w:val="00C50B11"/>
    <w:rsid w:val="00D60994"/>
    <w:rsid w:val="00D67EED"/>
    <w:rsid w:val="00E817FF"/>
    <w:rsid w:val="00E96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E6C0A-A2D1-400F-9DD4-59CD354B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E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7E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1EC"/>
    <w:pPr>
      <w:ind w:left="720"/>
      <w:contextualSpacing/>
    </w:pPr>
  </w:style>
  <w:style w:type="character" w:styleId="Hyperlink">
    <w:name w:val="Hyperlink"/>
    <w:basedOn w:val="DefaultParagraphFont"/>
    <w:uiPriority w:val="99"/>
    <w:unhideWhenUsed/>
    <w:rsid w:val="00B031EC"/>
    <w:rPr>
      <w:color w:val="0000FF"/>
      <w:u w:val="single"/>
    </w:rPr>
  </w:style>
  <w:style w:type="character" w:styleId="UnresolvedMention">
    <w:name w:val="Unresolved Mention"/>
    <w:basedOn w:val="DefaultParagraphFont"/>
    <w:uiPriority w:val="99"/>
    <w:semiHidden/>
    <w:unhideWhenUsed/>
    <w:rsid w:val="00B031EC"/>
    <w:rPr>
      <w:color w:val="605E5C"/>
      <w:shd w:val="clear" w:color="auto" w:fill="E1DFDD"/>
    </w:rPr>
  </w:style>
  <w:style w:type="character" w:customStyle="1" w:styleId="Heading2Char">
    <w:name w:val="Heading 2 Char"/>
    <w:basedOn w:val="DefaultParagraphFont"/>
    <w:link w:val="Heading2"/>
    <w:uiPriority w:val="9"/>
    <w:rsid w:val="00D67EE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67EED"/>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E96F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6FA2"/>
    <w:rPr>
      <w:sz w:val="20"/>
      <w:szCs w:val="20"/>
    </w:rPr>
  </w:style>
  <w:style w:type="character" w:styleId="FootnoteReference">
    <w:name w:val="footnote reference"/>
    <w:basedOn w:val="DefaultParagraphFont"/>
    <w:uiPriority w:val="99"/>
    <w:semiHidden/>
    <w:unhideWhenUsed/>
    <w:rsid w:val="00E96F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91926">
      <w:bodyDiv w:val="1"/>
      <w:marLeft w:val="0"/>
      <w:marRight w:val="0"/>
      <w:marTop w:val="0"/>
      <w:marBottom w:val="0"/>
      <w:divBdr>
        <w:top w:val="none" w:sz="0" w:space="0" w:color="auto"/>
        <w:left w:val="none" w:sz="0" w:space="0" w:color="auto"/>
        <w:bottom w:val="none" w:sz="0" w:space="0" w:color="auto"/>
        <w:right w:val="none" w:sz="0" w:space="0" w:color="auto"/>
      </w:divBdr>
      <w:divsChild>
        <w:div w:id="2071268550">
          <w:marLeft w:val="0"/>
          <w:marRight w:val="0"/>
          <w:marTop w:val="0"/>
          <w:marBottom w:val="0"/>
          <w:divBdr>
            <w:top w:val="none" w:sz="0" w:space="0" w:color="auto"/>
            <w:left w:val="none" w:sz="0" w:space="0" w:color="auto"/>
            <w:bottom w:val="none" w:sz="0" w:space="0" w:color="auto"/>
            <w:right w:val="none" w:sz="0" w:space="0" w:color="auto"/>
          </w:divBdr>
        </w:div>
      </w:divsChild>
    </w:div>
    <w:div w:id="824393654">
      <w:bodyDiv w:val="1"/>
      <w:marLeft w:val="0"/>
      <w:marRight w:val="0"/>
      <w:marTop w:val="0"/>
      <w:marBottom w:val="0"/>
      <w:divBdr>
        <w:top w:val="none" w:sz="0" w:space="0" w:color="auto"/>
        <w:left w:val="none" w:sz="0" w:space="0" w:color="auto"/>
        <w:bottom w:val="none" w:sz="0" w:space="0" w:color="auto"/>
        <w:right w:val="none" w:sz="0" w:space="0" w:color="auto"/>
      </w:divBdr>
      <w:divsChild>
        <w:div w:id="663894712">
          <w:marLeft w:val="0"/>
          <w:marRight w:val="0"/>
          <w:marTop w:val="0"/>
          <w:marBottom w:val="0"/>
          <w:divBdr>
            <w:top w:val="none" w:sz="0" w:space="0" w:color="auto"/>
            <w:left w:val="none" w:sz="0" w:space="0" w:color="auto"/>
            <w:bottom w:val="none" w:sz="0" w:space="0" w:color="auto"/>
            <w:right w:val="none" w:sz="0" w:space="0" w:color="auto"/>
          </w:divBdr>
        </w:div>
      </w:divsChild>
    </w:div>
    <w:div w:id="1236669257">
      <w:bodyDiv w:val="1"/>
      <w:marLeft w:val="0"/>
      <w:marRight w:val="0"/>
      <w:marTop w:val="0"/>
      <w:marBottom w:val="0"/>
      <w:divBdr>
        <w:top w:val="none" w:sz="0" w:space="0" w:color="auto"/>
        <w:left w:val="none" w:sz="0" w:space="0" w:color="auto"/>
        <w:bottom w:val="none" w:sz="0" w:space="0" w:color="auto"/>
        <w:right w:val="none" w:sz="0" w:space="0" w:color="auto"/>
      </w:divBdr>
    </w:div>
    <w:div w:id="1742634134">
      <w:bodyDiv w:val="1"/>
      <w:marLeft w:val="0"/>
      <w:marRight w:val="0"/>
      <w:marTop w:val="0"/>
      <w:marBottom w:val="0"/>
      <w:divBdr>
        <w:top w:val="none" w:sz="0" w:space="0" w:color="auto"/>
        <w:left w:val="none" w:sz="0" w:space="0" w:color="auto"/>
        <w:bottom w:val="none" w:sz="0" w:space="0" w:color="auto"/>
        <w:right w:val="none" w:sz="0" w:space="0" w:color="auto"/>
      </w:divBdr>
      <w:divsChild>
        <w:div w:id="939987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0221546.2023.220362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ownm@iastate.edu" TargetMode="External"/><Relationship Id="rId12" Type="http://schemas.openxmlformats.org/officeDocument/2006/relationships/hyperlink" Target="https://networkcanva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ed.gov/2023/11/new-measures-of-postsecondary-education-transfer-performance-transfer-out-rates-for-community-colleges-transfer-student-graduation-rates-at-four-year-colleges-and-the-institutional-dyads-contributi/" TargetMode="External"/><Relationship Id="rId5" Type="http://schemas.openxmlformats.org/officeDocument/2006/relationships/footnotes" Target="footnotes.xml"/><Relationship Id="rId10" Type="http://schemas.openxmlformats.org/officeDocument/2006/relationships/hyperlink" Target="https://automatedonline.org/2023/11/28/plug-and-play-education-knowledge-and-learning-in-the-age-of-platforms-and-artificial-intelligence-2024/" TargetMode="External"/><Relationship Id="rId4" Type="http://schemas.openxmlformats.org/officeDocument/2006/relationships/webSettings" Target="webSettings.xml"/><Relationship Id="rId9" Type="http://schemas.openxmlformats.org/officeDocument/2006/relationships/hyperlink" Target="https://doi.org/10.1002/cc.2047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Iowa State University of Science and Technology</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Michael G [SOE]</dc:creator>
  <cp:keywords/>
  <dc:description/>
  <cp:lastModifiedBy>Brown, Michael G [SOE]</cp:lastModifiedBy>
  <cp:revision>4</cp:revision>
  <dcterms:created xsi:type="dcterms:W3CDTF">2023-11-29T17:26:00Z</dcterms:created>
  <dcterms:modified xsi:type="dcterms:W3CDTF">2023-11-29T19:31:00Z</dcterms:modified>
</cp:coreProperties>
</file>